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71C0" w14:textId="46E27022" w:rsidR="00F06DB7" w:rsidRPr="00063C97" w:rsidRDefault="00F06DB7" w:rsidP="00F06DB7">
      <w:pPr>
        <w:jc w:val="center"/>
        <w:rPr>
          <w:b/>
          <w:bCs/>
        </w:rPr>
      </w:pPr>
      <w:r>
        <w:rPr>
          <w:b/>
          <w:bCs/>
        </w:rPr>
        <w:t>Mathematics Education</w:t>
      </w:r>
    </w:p>
    <w:p w14:paraId="25C8C82A" w14:textId="77777777" w:rsidR="00F06DB7" w:rsidRDefault="00F06DB7" w:rsidP="00F06DB7">
      <w:pPr>
        <w:jc w:val="center"/>
      </w:pPr>
      <w:r>
        <w:t>Subject Specific Items for PST Observation Tool</w:t>
      </w:r>
    </w:p>
    <w:p w14:paraId="13CF1828" w14:textId="3F83E478" w:rsidR="00F06DB7" w:rsidRP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Apply knowledge of curriculum standards for secondary mathematics and their relationship to student learning within and across mathematical domains.</w:t>
      </w:r>
    </w:p>
    <w:p w14:paraId="72B25C42" w14:textId="76C6389A" w:rsidR="00F06DB7" w:rsidRP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Analyze and consider research in planning for and leading students in rich mathematical learning experiences.</w:t>
      </w:r>
    </w:p>
    <w:p w14:paraId="7FBB509E" w14:textId="769FF0DD" w:rsidR="00F06DB7" w:rsidRP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Plan lessons and units that incorporate a variety of strategies, differentiated instruction for diverse populations, and mathematics-specific and instructional technologies in building all students’ conceptual understanding and procedural proficiency.</w:t>
      </w:r>
    </w:p>
    <w:p w14:paraId="67141B35" w14:textId="77777777" w:rsidR="00F06DB7" w:rsidRP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Provide students with opportunities to communicate about mathematics and make connections among mathematics, other content areas, everyday life, and the workplace.</w:t>
      </w:r>
    </w:p>
    <w:p w14:paraId="015A4AE9" w14:textId="5ABA6532" w:rsidR="00F06DB7" w:rsidRP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Implement techniques related to student engagement and communication including selecting high quality tasks, guiding mathematical discussions, identifying key mathematical ideas, identifying and addressing student misconceptions, and employing a range of questioning strategies.</w:t>
      </w:r>
    </w:p>
    <w:p w14:paraId="3F99E8B5" w14:textId="59D8DEE7" w:rsidR="00F06DB7" w:rsidRP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Plan, select, implement, interpret, and use formative and summative assessments to inform instruction by reflecting on mathematical proficiencies essential for all students.</w:t>
      </w:r>
    </w:p>
    <w:p w14:paraId="0E40BF2A" w14:textId="77777777" w:rsidR="00F06DB7" w:rsidRP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Monitor students’ progress, make instructional decisions, and measure students’ mathematical understanding and ability using formative and summative assessments.</w:t>
      </w:r>
    </w:p>
    <w:p w14:paraId="66147DE5" w14:textId="59A613C3" w:rsidR="00F06DB7" w:rsidRP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Exhibit knowledge of adolescent learning, development, and behavior and demonstrate a positive disposition toward mathematical processes and learning.</w:t>
      </w:r>
    </w:p>
    <w:p w14:paraId="369C3872" w14:textId="03F820CC" w:rsidR="00F06DB7" w:rsidRP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Plan and create developmentally appropriate, sequential, and challenging learning opportunities grounded in mathematics education research in which students are actively engaged in building new knowledge from prior knowledge and experiences.</w:t>
      </w:r>
    </w:p>
    <w:p w14:paraId="39D52C2B" w14:textId="77777777" w:rsidR="00F06DB7" w:rsidRP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Incorporate knowledge of individual differences and the cultural and language diversity that exists within classrooms and include culturally relevant perspectives as a means to motivate and engage students.</w:t>
      </w:r>
    </w:p>
    <w:p w14:paraId="0164D8EB" w14:textId="76C66BA5" w:rsidR="00F06DB7" w:rsidRP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Demonstrate equitable and ethical treatment of and high expectations for all students.</w:t>
      </w:r>
    </w:p>
    <w:p w14:paraId="59606DA3" w14:textId="77777777" w:rsidR="00F06DB7" w:rsidRP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Apply mathematical content and pedagogical knowledge to select and use instructional tools such as manipulatives and physical models, drawings, virtual environments, spreadsheets, presentation tools, and mathematics-specific technologies (e.g., graphing tools, interactive geometry software, computer algebra systems, and statistical packages); and make sound decisions about when such tools enhance teaching and learning, recognizing both the insights to be gained and possible limitations of such tools.</w:t>
      </w:r>
    </w:p>
    <w:p w14:paraId="5F477752" w14:textId="77777777" w:rsidR="00F06DB7" w:rsidRP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Verify that secondary students demonstrate conceptual understanding; procedural fluency; the ability to formulate, represent, and solve problems; logical reasoning and continuous reflection on that reasoning; productive disposition toward mathematics; and the application of mathematics in a variety of contexts within major mathematical domains.</w:t>
      </w:r>
    </w:p>
    <w:p w14:paraId="3D6DAEB0" w14:textId="6ED15D82" w:rsidR="00F06DB7" w:rsidRDefault="00F06DB7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F06DB7">
        <w:rPr>
          <w:rFonts w:asciiTheme="minorHAnsi" w:eastAsiaTheme="minorHAnsi" w:hAnsiTheme="minorHAnsi" w:cstheme="minorBidi"/>
          <w:sz w:val="22"/>
          <w:szCs w:val="22"/>
        </w:rPr>
        <w:t>Engage students in developmentally appropriate mathematical activities and investigations that require active engagement and include mathematics-specific technology in building new knowledge.</w:t>
      </w:r>
    </w:p>
    <w:p w14:paraId="70FD403B" w14:textId="597DE389" w:rsidR="00F06DB7" w:rsidRPr="00C81D3C" w:rsidRDefault="00C81D3C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C81D3C">
        <w:rPr>
          <w:rFonts w:asciiTheme="minorHAnsi" w:eastAsiaTheme="minorHAnsi" w:hAnsiTheme="minorHAnsi" w:cstheme="minorBidi"/>
          <w:sz w:val="22"/>
          <w:szCs w:val="22"/>
        </w:rPr>
        <w:t>Collect, organize, analyze, and reflect on diagnostic, formative, and summative assessment evidence and determine the extent to which students’ mathematical proficiencies have increased as a result of their instruction.</w:t>
      </w:r>
    </w:p>
    <w:p w14:paraId="47268448" w14:textId="44580BF1" w:rsidR="00C81D3C" w:rsidRPr="00C81D3C" w:rsidRDefault="00C81D3C" w:rsidP="00C81D3C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C81D3C">
        <w:rPr>
          <w:rFonts w:asciiTheme="minorHAnsi" w:eastAsiaTheme="minorHAnsi" w:hAnsiTheme="minorHAnsi" w:cstheme="minorBidi"/>
          <w:sz w:val="22"/>
          <w:szCs w:val="22"/>
        </w:rPr>
        <w:t>Take an active role in their professional growth by participating in professional development experiences that directly relate to the learning and teaching of mathematics.</w:t>
      </w:r>
    </w:p>
    <w:p w14:paraId="4D8EF681" w14:textId="74D439DA" w:rsidR="00C81D3C" w:rsidRPr="00C81D3C" w:rsidRDefault="00C81D3C" w:rsidP="00F06DB7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C81D3C">
        <w:rPr>
          <w:rFonts w:asciiTheme="minorHAnsi" w:eastAsiaTheme="minorHAnsi" w:hAnsiTheme="minorHAnsi" w:cstheme="minorBidi"/>
          <w:sz w:val="22"/>
          <w:szCs w:val="22"/>
        </w:rPr>
        <w:t>Engage in continuous and collaborative learning that draws upon research in mathematics education to inform practice; enhance learning opportunities for all students’ mathematical knowledge development; involve colleagues, other school professionals, families, and various stakeholders; and advance their development as a reflective practitioner.</w:t>
      </w:r>
    </w:p>
    <w:p w14:paraId="52760422" w14:textId="4034C0CD" w:rsidR="002C5991" w:rsidRPr="00C81D3C" w:rsidRDefault="00C81D3C" w:rsidP="00C81D3C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C81D3C">
        <w:rPr>
          <w:rFonts w:asciiTheme="minorHAnsi" w:eastAsiaTheme="minorHAnsi" w:hAnsiTheme="minorHAnsi" w:cstheme="minorBidi"/>
          <w:sz w:val="22"/>
          <w:szCs w:val="22"/>
        </w:rPr>
        <w:t>Utilize resources from professional mathematics education organizations such as print, digital, and virtual resources/collections.</w:t>
      </w:r>
    </w:p>
    <w:sectPr w:rsidR="002C5991" w:rsidRPr="00C81D3C" w:rsidSect="00D04649">
      <w:pgSz w:w="12240" w:h="15840"/>
      <w:pgMar w:top="720" w:right="1440" w:bottom="63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659D4"/>
    <w:multiLevelType w:val="hybridMultilevel"/>
    <w:tmpl w:val="59B8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5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B7"/>
    <w:rsid w:val="002C5991"/>
    <w:rsid w:val="00963311"/>
    <w:rsid w:val="00C81D3C"/>
    <w:rsid w:val="00D04649"/>
    <w:rsid w:val="00F0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A972"/>
  <w15:chartTrackingRefBased/>
  <w15:docId w15:val="{25D908F7-93F5-4983-94AF-90012C1A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ba6088938cc6a5ab33cebf00a5ba3cbe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186b5385222db7090dfbdbdecfa895db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1770ee-2b02-4893-a083-73909d398beb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9E895-7EBD-4D57-95F9-E1B4B4F18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6bedc-7462-4abd-9992-2dbe0c94ff54"/>
    <ds:schemaRef ds:uri="5dc41a32-4bde-4957-9677-22b8b5648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CC253-0839-4D66-B744-E930E1C9A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Lucy (Student Administrative Assistant - 2110S)</dc:creator>
  <cp:keywords/>
  <dc:description/>
  <cp:lastModifiedBy>Anna Roberts</cp:lastModifiedBy>
  <cp:revision>2</cp:revision>
  <dcterms:created xsi:type="dcterms:W3CDTF">2024-09-04T13:54:00Z</dcterms:created>
  <dcterms:modified xsi:type="dcterms:W3CDTF">2024-09-09T14:55:00Z</dcterms:modified>
</cp:coreProperties>
</file>